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Brujić (CROSBI Profil: 19594, MBZ: 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>
      <w:pPr/>
      <w:r>
        <w:rPr/>
        <w:t xml:space="preserve">
<![CDATA[Brujić, Branka
]]>          <w:br/>
<![CDATA[Ethos und Geshichtlicher Werdeprozess.  // Kritisches Jahrbuch der Philosophie, 3 (1998),  98-107 (podatak o recenziji nije dostupan, članak, znanstveni)
]]>          <w:br/>
        </w:t>
      </w:r>
    </w:p>
    <w:p>
      <w:pPr/>
      <w:r>
        <w:rPr/>
        <w:t xml:space="preserve">
<![CDATA[Brujić, Branka
]]>          <w:br/>
<![CDATA[Herbert Marcuse-trideset godina poslije.  // Kolo, 8 (1998), 3;  185-202 (podatak o recenziji nije dostupan, članak, znanstveni)
]]>          <w:br/>
        </w:t>
      </w:r>
    </w:p>
    <w:p>
      <w:pPr/>
      <w:r>
        <w:rPr/>
        <w:t xml:space="preserve">
<![CDATA[Brujić, Branka
]]>          <w:br/>
<![CDATA[Ethos "drugog početka".  // Filozofska istraživanja, 18 (1998), 3;  531-534 (podatak o recenziji nije dostupan, članak, znanstveni)
]]>          <w:br/>
        </w:t>
      </w:r>
    </w:p>
    <w:p>
      <w:pPr/>
      <w:r>
        <w:rPr/>
        <w:t xml:space="preserve">
<![CDATA[Brujić, Branka
]]>          <w:br/>
<![CDATA[Granice Kantova poimanja slobode iz horizonta Heideggerova mišljenja.  // Filozofska istraživanja, 17 (1997), 4;  887-901 (podatak o recenziji nije dostupan, članak, znanstveni)
]]>          <w:br/>
        </w:t>
      </w:r>
    </w:p>
    <w:p>
      <w:pPr/>
      <w:r>
        <w:rPr/>
        <w:t xml:space="preserve">
<![CDATA[Brujić, Branka
]]>          <w:br/>
<![CDATA[Uloga "velike umjetnice" prirode u postizanju vječnog mira. O odnosu praktičnog uma i prirode u Kantovoj filozofiji.  // Politička misao, 33 (1997), 4;  14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index.php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