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Brbot-Šaranović (CROSBI Profil: 19448, MBZ: 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bot-Šaranović, Ana
]]>          <w:br/>
<![CDATA[Kemija prirodnih spojeva - odabrana poglavlj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 prirodnih spojev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.
]]>          <w:br/>
<![CDATA[Zagreb: Veterin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čić, Šime
]]>          <w:br/>
<![CDATA[Vitamini topljivi u mastima : kemijska svojstva i biološko djelovanje., 2004., diplomski rad, Veterinars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Filipović, Antonela
]]>          <w:br/>
<![CDATA[Vitamini : preteče koenzim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