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Hacmanjek (CROSBI Profil: 19380, MBZ: 47715)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Hacmanjek, Mato; Teskeredžić, Emin
]]>          <w:br/>
<![CDATA[Health status of rudd (Scardinius erythrophtalmus hesperidicus H.) living in the lake Vrana on the island of Cres..  // Journal of Applied Ichthyology, 17 (2001),  43-45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Hacmanjek, Mato
]]>          <w:br/>
<![CDATA[Pregled češćih bolesti uzgajanih vrsta toplovodnih riba u slatkoj vodi.  // Hrvatski veterinarski vjesnik, 3 (1995), 3-4;  6-14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Hacmanjek, Mato
]]>          <w:br/>
<![CDATA[Vrijednosti hematokrita, ukupnih proteina plazme i indeksa loma plazme riba iz jezera Vrana na Cresu.  // Znanstveno stručno savjetovanje : Veterinarski dani 1998 : zbornik radova / Balenović, Tomislav (ur.).
]]>          <w:br/>
<![CDATA[Zagreb: Hrvatska veterinarska komora, 1998. str. 349-352 (poster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