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Maurac (CROSBI Profil: 18296, MBZ: 288715)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