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Raos (CROSBI Profil: 16727, MBZ: 224813)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Raos, Miljenko; 
]]>          <w:br/>
<![CDATA[Peludna hunjavica u dječjoj dobi.  // Paediatria croatica, 43 (1999),  9-1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index.php/364265) (podatak o recenziji nije dostup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ncul, Ivan; Kovač, Kornelija; Raos, Miljenko; Zoričić-Letoja, Ivka; Koncul-Borošak, Beata
]]>          <w:br/>
<![CDATA[Tuberkuloza dječje dobi.  // Paediatria Croatica, 46 (2002),  17-22 (podatak o recenziji nije dostup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