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Pejša (CROSBI Profil: 16491, MBZ: 221244)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Pejša, Vlatko
]]>          <w:br/>
<![CDATA[Patofiziologija krvi i krvotvornih organa. // Klinička patofoziologija za studente Farmaceutsko biokemijskog fakulteta / Kujundžić, Milan i sur. (ur.).
]]>          <w:br/>
<![CDATA[Zagreb: Farmaceutsko-biokemijski fakultet Sveučilišta u Zagrebu, 2003. str. 1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Bašić-Kinda, Sandra; Hude, Ida; Ranković, Ena; Ostojić-Kolonić, Slobodanka; Pejša, Vlatko; Radman, Ivo; Bogeljić-Patekar, Martina; Jakšić, Ozren; Dubravčić, Klara; Franić-Šimić, Ivana; Aurer, Igor
]]>          <w:br/>
<![CDATA[Comparison of different schedules of rituximab and chlorambucil in previously untreated chronic lymphocytic leukemia: a retrospective study of Krohem.  // Journal of cancer science and clinical therapeutics, 5 (2021), 4;  426-433 doi:10.26502/jcsct.5079128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, suplement 3 / Anić, Branimir (ur.).
]]>          <w:br/>
<![CDATA[Zagreb: Hrvatski liječnički zbor, 2007. str. 70-70 (predavanje, sažetak, stručni)
]]>          <w:br/>
        </w:t>
      </w:r>
    </w:p>
    <w:p>
      <w:pPr/>
      <w:r>
        <w:rPr/>
        <w:t xml:space="preserve">
<![CDATA[Pejša, Vlatko
]]>          <w:br/>
<![CDATA[Hematopoetska rezerva u KLL.  // Liječnički vjesnik, suplement 3 / Anić, Branimir (ur.).
]]>          <w:br/>
<![CDATA[Zagreb: Hrvatski liječnički zbor, 2007. str. 71-71 (predavanje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 129 Suppl 3
]]>          <w:br/>
<![CDATA[Opatija, Hrvatska, 2007. str. 70-70 (predavanje, domaća recenzija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