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Mikulić (CROSBI Profil: 15585, MBZ: 206633)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Madžarević-Šujster, Sanja; Mikulić, Davor
]]>          <w:br/>
<![CDATA[Procjena neslužbenoga gospodarstva sustavom nacionalnih računa.  // Financijska teorija i praksa, 26 (2002), 1;  31-5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Mikulić, Davor; Madžarević, Saša
]]>          <w:br/>
<![CDATA[Procjena neslužbenoga gospodarstva u poljoprivredi, industriji i trgovini.  // Financijska teorija i praksa, 26 (2002), 1;  145-171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