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Katušin-Ražem (CROSBI Profil: 15477, MBZ: 20570)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index.php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index.php/9201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Brbot-Šaranović, Ana; Katušin-Ražem, Branka
]]>          <w:br/>
<![CDATA[Betainska struktura nekih pironilpirazola.  // Sažeci XV. Hrvatskog skupa kemičara i kemijskih inženjera / Gojo, M. ; Trajkov, N. ; Smolec, S. (ur.).
]]>          <w:br/>
<![CDATA[Zagreb: Hrvatsko društvo kemijskih inženjera i tehnologa (HDKI), 1997. str. 105-10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index.php/9191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atušin-Ražem, Branka
]]>          <w:br/>
<![CDATA[Radiation Decontamination of Pharmaceutical and Cosmetic Raw Materials and Adjuvant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