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15107, MBZ: 199020)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vić, Darko
]]>          <w:br/>
<![CDATA[Optimiranje sustava upravljanja genetičkim algoritmom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