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Bumči (CROSBI Profil: 14830, MBZ: 193436)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