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Milanović (CROSBI Profil: 14335, MBZ: 182401)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index.php/643026)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Milanović, Rudolf; Husedžinović, Sanja; Bradić, Nikola
]]>          <w:br/>
<![CDATA[Induced hypothermia after cardiopulmonary resuscitation: possible adverse effects.  // Signa vitae, 2 (2007), 1;  15-17 (podatak o recenziji nije dostupan, pregledni rad, znanstve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