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Đačić (CROSBI Profil: 14063, MBZ: 177464)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Đačić, Sanja
]]>          <w:br/>
<![CDATA[UTJECAJ IMOBILIZACIJSKOG STRESA I DOMPERIDONA NA PROMJENE ß STANICA., 1993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