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Huzak (CROSBI Profil: 13675, MBZ: 168846)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
]]>          <w:br/>
<![CDATA[A general theorem on approximate maximum likelihood estimation.  // Glasnik matematički, 36(56) (2001),  139-153 (podatak o recenziji nije dostupan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Huzak, Miljenko
]]>          <w:br/>
<![CDATA[Parameter estimation of diffusion models fromdiscrete observations.  // Mathematical communications, 3 (1998),  221-225 (podatak o recenziji nije dostupan, pregledni rad, znanstveni)
]]>          <w:br/>
        </w:t>
      </w:r>
    </w:p>
    <w:p>
      <w:pPr/>
      <w:r>
        <w:rPr/>
        <w:t xml:space="preserve">
<![CDATA[Huzak, Miljenko
]]>          <w:br/>
<![CDATA[Parameter estimation of diffusion growth model.  // Mathematical communications, 3 (1998),  129-134 (podatak o recenziji nije dostupan, pregledni rad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ilović, Marijo; Huzak, Miljenko
]]>          <w:br/>
<![CDATA[Wiener-Hopfova faktorizacija.  // Math.e, 35 (2019), 1;  29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
<![CDATA[Dreven, Sanja
]]>          <w:br/>
<![CDATA[De Finettijev teorem reprezentacije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