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Granić (CROSBI Profil: 12602, MBZ: 14180)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Metelko, Ž; Granić, M; Škrabalo, Z
]]>          <w:br/>
<![CDATA[Aims and results of diabetes update courses in the Vuk Vrhovac Institute for Diabetes, Endocrinology and Metabolic Diseases.  // Bulletin Delivery of Health Care for Diabetics in Developing Countries, 8 (1987), 3-4;  123-132 (podatak o recenziji nije dostupan, članak, znanstve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Pavlić-Renar, Ivana; Granić, Mate; Muačević, Diana
]]>          <w:br/>
<![CDATA[Niska učestalost crvenila kože lica pod utjecajem korpropamida i alkohola u naših bolesnika i kontrolnih osoba.  // Diabetologia Croatica, 13 (1984),  295-302 (međunarodna recenzija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