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Ćavar Borić (CROSBI Profil: 11087, MBZ: 346616)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Engelking, A.; Cavar, M.; Puljak, L.
]]>          <w:br/>
<![CDATA[The use of systematic reviews to justify anaesthesiology trials: A meta-epidemiological study.  // European Journal of Pain, 22 (2018), 10;  1844-1849 doi:10.1002/ejp.1280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