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Trupinić (CROSBI Profil: 1093, MBZ: 379165)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le, Katrina B; Kennard, Andrew S.; Trupinić, Monika; Ivec, Arian; Swafford, Andrew J.M.; Nolton, Emily; Rice, Luke M.; Tolić, Iva M.; Fritz-Laylin, Lillian K.; Wadsworth, Patricia
]]>          <w:br/>
<![CDATA[Naegleria’s mitotic spindles are built from unique tubulins and highlight core spindle features.  // Current biology, 32 (2022),  1-15 doi:10.1016/j.cub.2022.01.034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augmin.  // EMBO / EMBL Symposium: Microtubules: From Atoms to Complex Systems
]]>          <w:br/>
<![CDATA[Heidelberg, Njemačka, 2022. (predavanje, neobjavljeni rad, znanstveni)
]]>          <w:br/>
        </w:t>
      </w:r>
    </w:p>
    <w:p>
      <w:pPr/>
      <w:r>
        <w:rPr/>
        <w:t xml:space="preserve">
<![CDATA[Trupinić, Monika; Kokanović, Barbara; Ponjavić, Ivana; Ivec, Arian; Tolić, Iva M.
]]>          <w:br/>
<![CDATA[The chirality of the mitotic spindle provides a mechanical response to forces and depends on microtubule motors and crosslinkers.  // 9th World Congress of Biomechanics
]]>          <w:br/>
<![CDATA[Taipei, Tajvan, 2022. (predavanje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Virtual 2021 Cell Cycle Meeting
]]>          <w:br/>
<![CDATA[online, 2021. (poster, neobjavljeni rad, znanstveni)
]]>          <w:br/>
        </w:t>
      </w:r>
    </w:p>
    <w:p>
      <w:pPr/>
      <w:r>
        <w:rPr/>
        <w:t xml:space="preserve">
<![CDATA[Trupinić, Monika; Kokanović, Barbara; Ponjavić, Ivana; Wadsworth, Patricia; Fritz-Laylin, Lillian; Tolić, Iva M.
]]>          <w:br/>
<![CDATA[Twist of the mitotic spindle culminates at anaphase onset and depends on microtubule-associated proteins along with external forces.  // Mitotic spindle: From living and synthetic systems to theory
]]>          <w:br/>
<![CDATA[Split, Hrvatska, 2021. (poster, podatak o recenziji nije dostupan, neobjavljeni rad, znanstveni)
]]>          <w:br/>
        </w:t>
      </w:r>
    </w:p>
    <w:p>
      <w:pPr/>
      <w:r>
        <w:rPr/>
        <w:t xml:space="preserve">
<![CDATA[Trupinić, Monika; Kokanović, Barbara; Ponjavić, Ivana; Tolić, Iva M.
]]>          <w:br/>
<![CDATA[Mitotic Spindle Chirality Provides a Passive Mechanical Response to Forces and Depends on Microtubule Motors and Crosslinkers.  // Cell Bio Virtual 2021 | An Online ASCB|EMBO Meeting
]]>          <w:br/>
<![CDATA[online, 2021. (predavanje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